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C213A" w:rsidRDefault="006A0E4E">
      <w:pPr>
        <w:pStyle w:val="1"/>
      </w:pPr>
      <w:r>
        <w:fldChar w:fldCharType="begin"/>
      </w:r>
      <w:r>
        <w:instrText xml:space="preserve"> HYPERLINK "http://ivo.garant.ru/document/redirect/407727170/0" </w:instrText>
      </w:r>
      <w:r>
        <w:fldChar w:fldCharType="separate"/>
      </w:r>
      <w:r w:rsidR="00AA5E45">
        <w:rPr>
          <w:rStyle w:val="a4"/>
          <w:b w:val="0"/>
          <w:bCs w:val="0"/>
        </w:rPr>
        <w:t>Постановление Правительства РФ от 16 сентября 2023 г. N 1511 "Об установлении на 2024 год допустимой доли иностранных работников, используемых хозяйствующими субъектами, осуществляющими на территории Российской Федерации отдельные виды экономической деятельности"</w:t>
      </w:r>
      <w:r>
        <w:rPr>
          <w:rStyle w:val="a4"/>
          <w:b w:val="0"/>
          <w:bCs w:val="0"/>
        </w:rPr>
        <w:fldChar w:fldCharType="end"/>
      </w:r>
    </w:p>
    <w:p w:rsidR="00CC213A" w:rsidRDefault="00CC213A"/>
    <w:p w:rsidR="00CC213A" w:rsidRDefault="00AA5E45">
      <w:r>
        <w:t xml:space="preserve">В соответствии с </w:t>
      </w:r>
      <w:hyperlink r:id="rId7" w:history="1">
        <w:r>
          <w:rPr>
            <w:rStyle w:val="a4"/>
          </w:rPr>
          <w:t>пунктом 5 статьи 18.1</w:t>
        </w:r>
      </w:hyperlink>
      <w:r>
        <w:t xml:space="preserve"> Федерального закона "О правовом положении иностранных граждан в Российской Федерации" Правительство Российской Федерации постановляет:</w:t>
      </w:r>
    </w:p>
    <w:p w:rsidR="00CC213A" w:rsidRDefault="00AA5E45">
      <w:bookmarkStart w:id="1" w:name="sub_1"/>
      <w:r>
        <w:t xml:space="preserve">1. Установить на 2024 год допустимую долю иностранных работников, используемых хозяйствующими субъектами, осуществляющими на территории Российской Федерации следующие виды деятельности, предусмотренные </w:t>
      </w:r>
      <w:hyperlink r:id="rId8" w:history="1">
        <w:r>
          <w:rPr>
            <w:rStyle w:val="a4"/>
          </w:rPr>
          <w:t>Общероссийским классификатором</w:t>
        </w:r>
      </w:hyperlink>
      <w:r>
        <w:t xml:space="preserve"> видов экономической деятельности (ОК 029-2014 (КДЕС Ред. 2):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2" w:name="sub_101"/>
      <w:bookmarkEnd w:id="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</w:t>
      </w:r>
      <w:hyperlink w:anchor="sub_2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 территорий Удмуртской Республики, Астраханской области, Амурской области и Волгоградской области</w:t>
      </w:r>
    </w:p>
    <w:p w:rsidR="00CC213A" w:rsidRDefault="00AA5E45">
      <w:r>
        <w:t xml:space="preserve">а) выращивание овощей (код </w:t>
      </w:r>
      <w:hyperlink r:id="rId9" w:history="1">
        <w:r>
          <w:rPr>
            <w:rStyle w:val="a4"/>
          </w:rPr>
          <w:t>01.13.1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3" w:name="sub_102"/>
      <w:r>
        <w:t xml:space="preserve">б) лесоводство и лесозаготовки (код </w:t>
      </w:r>
      <w:hyperlink r:id="rId10" w:history="1">
        <w:r>
          <w:rPr>
            <w:rStyle w:val="a4"/>
          </w:rPr>
          <w:t>02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" w:name="sub_103"/>
      <w:bookmarkEnd w:id="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4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"в" </w:t>
      </w:r>
      <w:hyperlink w:anchor="sub_3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 территории Хабаровского края</w:t>
      </w:r>
    </w:p>
    <w:p w:rsidR="00CC213A" w:rsidRDefault="00AA5E45">
      <w:r>
        <w:t xml:space="preserve">в) обработка древесины и производство изделий из дерева и пробки, кроме мебели, производство изделий из соломки и материалов для плетения (код </w:t>
      </w:r>
      <w:hyperlink r:id="rId11" w:history="1">
        <w:r>
          <w:rPr>
            <w:rStyle w:val="a4"/>
          </w:rPr>
          <w:t>16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" w:name="sub_10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5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"г" </w:t>
      </w:r>
      <w:hyperlink w:anchor="sub_4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 территорий Республики Бурятия, Республики Дагестан, Краснодарского края, Амурской области и г. Москвы</w:t>
      </w:r>
    </w:p>
    <w:p w:rsidR="00CC213A" w:rsidRDefault="00AA5E45">
      <w:r>
        <w:t>г) строительство (</w:t>
      </w:r>
      <w:hyperlink r:id="rId12" w:history="1">
        <w:r>
          <w:rPr>
            <w:rStyle w:val="a4"/>
          </w:rPr>
          <w:t>раздел F</w:t>
        </w:r>
      </w:hyperlink>
      <w:r>
        <w:t>) - в размере 80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6" w:name="sub_105"/>
      <w:r>
        <w:t xml:space="preserve">д) торговля оптовая древесным сырьем и необработанными лесоматериалами (код </w:t>
      </w:r>
      <w:hyperlink r:id="rId13" w:history="1">
        <w:r>
          <w:rPr>
            <w:rStyle w:val="a4"/>
          </w:rPr>
          <w:t>46.73.1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7" w:name="sub_106"/>
      <w:bookmarkEnd w:id="6"/>
      <w:r>
        <w:t xml:space="preserve">е) торговля оптовая пиломатериалами (код </w:t>
      </w:r>
      <w:hyperlink r:id="rId14" w:history="1">
        <w:r>
          <w:rPr>
            <w:rStyle w:val="a4"/>
          </w:rPr>
          <w:t>46.73.2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107"/>
      <w:bookmarkEnd w:id="7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8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"ж" </w:t>
      </w:r>
      <w:hyperlink w:anchor="sub_5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 территории Калужской области</w:t>
      </w:r>
    </w:p>
    <w:p w:rsidR="00CC213A" w:rsidRDefault="00AA5E45">
      <w:r>
        <w:t xml:space="preserve">ж) торговля розничная алкогольными напитками, включая пиво, в специализированных магазинах (код </w:t>
      </w:r>
      <w:hyperlink r:id="rId15" w:history="1">
        <w:r>
          <w:rPr>
            <w:rStyle w:val="a4"/>
          </w:rPr>
          <w:t>47.25.1</w:t>
        </w:r>
      </w:hyperlink>
      <w:r>
        <w:t>) - в размере 15 процентов общей численности работников, используемых указанными хозяйствующими субъектами;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8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"з" </w:t>
      </w:r>
      <w:hyperlink w:anchor="sub_5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 территории Калужской области</w:t>
      </w:r>
    </w:p>
    <w:p w:rsidR="00CC213A" w:rsidRDefault="00AA5E45">
      <w:r>
        <w:t xml:space="preserve">з) торговля розничная табачными изделиями в специализированных магазинах (код </w:t>
      </w:r>
      <w:hyperlink r:id="rId16" w:history="1">
        <w:r>
          <w:rPr>
            <w:rStyle w:val="a4"/>
          </w:rPr>
          <w:t>47.26</w:t>
        </w:r>
      </w:hyperlink>
      <w:r>
        <w:t xml:space="preserve">) - в размере 15 процентов общей численности работников, используемых указанными хозяйствующими </w:t>
      </w:r>
      <w:r>
        <w:lastRenderedPageBreak/>
        <w:t>субъектами;</w:t>
      </w:r>
    </w:p>
    <w:p w:rsidR="00CC213A" w:rsidRDefault="00AA5E45">
      <w:bookmarkStart w:id="10" w:name="sub_109"/>
      <w:r>
        <w:t xml:space="preserve">и) торговля розничная лекарственными средствами в специализированных магазинах (аптеках) (код </w:t>
      </w:r>
      <w:hyperlink r:id="rId17" w:history="1">
        <w:r>
          <w:rPr>
            <w:rStyle w:val="a4"/>
          </w:rPr>
          <w:t>47.73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11" w:name="sub_111"/>
      <w:bookmarkEnd w:id="10"/>
      <w:r>
        <w:t xml:space="preserve">к) торговля розничная в нестационарных торговых объектах и на рынках (код </w:t>
      </w:r>
      <w:hyperlink r:id="rId18" w:history="1">
        <w:r>
          <w:rPr>
            <w:rStyle w:val="a4"/>
          </w:rPr>
          <w:t>47.8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12" w:name="sub_112"/>
      <w:bookmarkEnd w:id="11"/>
      <w:r>
        <w:t xml:space="preserve">л) торговля розничная прочая вне магазинов, палаток, рынков (код </w:t>
      </w:r>
      <w:hyperlink r:id="rId19" w:history="1">
        <w:r>
          <w:rPr>
            <w:rStyle w:val="a4"/>
          </w:rPr>
          <w:t>47.99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3" w:name="sub_113"/>
      <w:bookmarkEnd w:id="1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3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"м" </w:t>
      </w:r>
      <w:hyperlink w:anchor="sub_6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исключением: территорий Краснодарского края, Калужской области и Магаданской области; хозяйствующих субъектов, осуществляющих на территории Удмуртской Республики деятельность сухопутного пассажирского транспорта: перевозки пассажиров в городском и пригородном сообщении (код </w:t>
      </w:r>
      <w:hyperlink r:id="rId20" w:history="1">
        <w:r>
          <w:rPr>
            <w:rStyle w:val="a4"/>
            <w:shd w:val="clear" w:color="auto" w:fill="F0F0F0"/>
          </w:rPr>
          <w:t>49.31</w:t>
        </w:r>
      </w:hyperlink>
      <w:r>
        <w:rPr>
          <w:shd w:val="clear" w:color="auto" w:fill="F0F0F0"/>
        </w:rPr>
        <w:t xml:space="preserve">) и деятельность легкового такси и арендованных легковых автомобилей с водителем (код </w:t>
      </w:r>
      <w:hyperlink r:id="rId21" w:history="1">
        <w:r>
          <w:rPr>
            <w:rStyle w:val="a4"/>
            <w:shd w:val="clear" w:color="auto" w:fill="F0F0F0"/>
          </w:rPr>
          <w:t>49.32</w:t>
        </w:r>
      </w:hyperlink>
      <w:r>
        <w:rPr>
          <w:shd w:val="clear" w:color="auto" w:fill="F0F0F0"/>
        </w:rPr>
        <w:t>)</w:t>
      </w:r>
    </w:p>
    <w:p w:rsidR="00CC213A" w:rsidRDefault="00AA5E45">
      <w:r>
        <w:t xml:space="preserve">м) деятельность прочего сухопутного пассажирского транспорта (код </w:t>
      </w:r>
      <w:hyperlink r:id="rId22" w:history="1">
        <w:r>
          <w:rPr>
            <w:rStyle w:val="a4"/>
          </w:rPr>
          <w:t>49.3</w:t>
        </w:r>
      </w:hyperlink>
      <w:r>
        <w:t>) - в размере 24 процентов общей численности работников, используемых указанными хозяйствующими субъектами;</w:t>
      </w:r>
    </w:p>
    <w:p w:rsidR="00CC213A" w:rsidRDefault="00AA5E4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4" w:name="sub_114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"/>
    <w:p w:rsidR="00CC213A" w:rsidRDefault="00AA5E4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"н" </w:t>
      </w:r>
      <w:hyperlink w:anchor="sub_7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на хозяйствующие субъекты, осуществляющие деятельность на территории РФ, за исключением территорий Краснодарского края и Магаданской области</w:t>
      </w:r>
    </w:p>
    <w:p w:rsidR="00CC213A" w:rsidRDefault="00AA5E45">
      <w:r>
        <w:t xml:space="preserve">н) деятельность автомобильного грузового транспорта (код </w:t>
      </w:r>
      <w:hyperlink r:id="rId23" w:history="1">
        <w:r>
          <w:rPr>
            <w:rStyle w:val="a4"/>
          </w:rPr>
          <w:t>49.41</w:t>
        </w:r>
      </w:hyperlink>
      <w:r>
        <w:t>) - в размере 24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15" w:name="sub_115"/>
      <w:r>
        <w:t xml:space="preserve">о) управление недвижимым имуществом за вознаграждение или на договорной основе (код </w:t>
      </w:r>
      <w:hyperlink r:id="rId24" w:history="1">
        <w:r>
          <w:rPr>
            <w:rStyle w:val="a4"/>
          </w:rPr>
          <w:t>68.32</w:t>
        </w:r>
      </w:hyperlink>
      <w:r>
        <w:t>) - в размере 70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16" w:name="sub_116"/>
      <w:bookmarkEnd w:id="15"/>
      <w:r>
        <w:t xml:space="preserve">п) деятельность по обслуживанию зданий и территорий (код </w:t>
      </w:r>
      <w:hyperlink r:id="rId25" w:history="1">
        <w:r>
          <w:rPr>
            <w:rStyle w:val="a4"/>
          </w:rPr>
          <w:t>81</w:t>
        </w:r>
      </w:hyperlink>
      <w:r>
        <w:t>) - в размере 70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17" w:name="sub_117"/>
      <w:bookmarkEnd w:id="16"/>
      <w:r>
        <w:t xml:space="preserve">р) деятельность в области спорта прочая (код </w:t>
      </w:r>
      <w:hyperlink r:id="rId26" w:history="1">
        <w:r>
          <w:rPr>
            <w:rStyle w:val="a4"/>
          </w:rPr>
          <w:t>93.19</w:t>
        </w:r>
      </w:hyperlink>
      <w:r>
        <w:t>) - в размере 25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18" w:name="sub_2"/>
      <w:bookmarkEnd w:id="17"/>
      <w:r>
        <w:t xml:space="preserve">2. Установить, что </w:t>
      </w:r>
      <w:hyperlink w:anchor="sub_101" w:history="1">
        <w:r>
          <w:rPr>
            <w:rStyle w:val="a4"/>
          </w:rPr>
          <w:t>подпункт "а" пункта 1</w:t>
        </w:r>
      </w:hyperlink>
      <w: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Удмуртской Республики, Астраханской области, Амурской области и Волгоградской области.</w:t>
      </w:r>
    </w:p>
    <w:p w:rsidR="00CC213A" w:rsidRDefault="00AA5E45">
      <w:bookmarkStart w:id="19" w:name="sub_3"/>
      <w:bookmarkEnd w:id="18"/>
      <w:r>
        <w:t xml:space="preserve">3. Установить, что </w:t>
      </w:r>
      <w:hyperlink w:anchor="sub_103" w:history="1">
        <w:r>
          <w:rPr>
            <w:rStyle w:val="a4"/>
          </w:rPr>
          <w:t>подпункт "в" пункта 1</w:t>
        </w:r>
      </w:hyperlink>
      <w: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территории Хабаровского края.</w:t>
      </w:r>
    </w:p>
    <w:p w:rsidR="00CC213A" w:rsidRDefault="00AA5E45">
      <w:bookmarkStart w:id="20" w:name="sub_4"/>
      <w:bookmarkEnd w:id="19"/>
      <w:r>
        <w:t xml:space="preserve">4. Установить, что </w:t>
      </w:r>
      <w:hyperlink w:anchor="sub_104" w:history="1">
        <w:r>
          <w:rPr>
            <w:rStyle w:val="a4"/>
          </w:rPr>
          <w:t>подпункт "г" пункта 1</w:t>
        </w:r>
      </w:hyperlink>
      <w: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Республики Бурятия, Республики Дагестан, Краснодарского края, Амурской области и г. Москвы.</w:t>
      </w:r>
    </w:p>
    <w:p w:rsidR="00CC213A" w:rsidRDefault="00AA5E45">
      <w:bookmarkStart w:id="21" w:name="sub_5"/>
      <w:bookmarkEnd w:id="20"/>
      <w:r>
        <w:t xml:space="preserve">5. Установить, что </w:t>
      </w:r>
      <w:hyperlink w:anchor="sub_107" w:history="1">
        <w:r>
          <w:rPr>
            <w:rStyle w:val="a4"/>
          </w:rPr>
          <w:t>подпункты "ж"</w:t>
        </w:r>
      </w:hyperlink>
      <w:r>
        <w:t xml:space="preserve"> и </w:t>
      </w:r>
      <w:hyperlink w:anchor="sub_108" w:history="1">
        <w:r>
          <w:rPr>
            <w:rStyle w:val="a4"/>
          </w:rPr>
          <w:t>"з" пункта 1</w:t>
        </w:r>
      </w:hyperlink>
      <w:r>
        <w:t xml:space="preserve"> настоящего постановления распространяются на хозяйствующие субъекты, осуществляющие деятельность на территории Российской Федерации, за исключением территории Калужской области.</w:t>
      </w:r>
    </w:p>
    <w:p w:rsidR="00CC213A" w:rsidRDefault="00AA5E45">
      <w:bookmarkStart w:id="22" w:name="sub_6"/>
      <w:bookmarkEnd w:id="21"/>
      <w:r>
        <w:t xml:space="preserve">6. Установить, что </w:t>
      </w:r>
      <w:hyperlink w:anchor="sub_113" w:history="1">
        <w:r>
          <w:rPr>
            <w:rStyle w:val="a4"/>
          </w:rPr>
          <w:t>подпункт "м" пункта 1</w:t>
        </w:r>
      </w:hyperlink>
      <w: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исключением:</w:t>
      </w:r>
    </w:p>
    <w:p w:rsidR="00CC213A" w:rsidRDefault="00AA5E45">
      <w:bookmarkStart w:id="23" w:name="sub_61"/>
      <w:bookmarkEnd w:id="22"/>
      <w:r>
        <w:t>а) территорий Краснодарского края, Калужской области и Магаданской области;</w:t>
      </w:r>
    </w:p>
    <w:p w:rsidR="00CC213A" w:rsidRDefault="00AA5E45">
      <w:bookmarkStart w:id="24" w:name="sub_62"/>
      <w:bookmarkEnd w:id="23"/>
      <w:r>
        <w:lastRenderedPageBreak/>
        <w:t xml:space="preserve">б) хозяйствующих субъектов, осуществляющих на территории Удмуртской Республики деятельность сухопутного пассажирского транспорта: перевозки пассажиров в городском и пригородном сообщении (код </w:t>
      </w:r>
      <w:hyperlink r:id="rId27" w:history="1">
        <w:r>
          <w:rPr>
            <w:rStyle w:val="a4"/>
          </w:rPr>
          <w:t>49.31</w:t>
        </w:r>
      </w:hyperlink>
      <w:r>
        <w:t>);</w:t>
      </w:r>
    </w:p>
    <w:p w:rsidR="00CC213A" w:rsidRDefault="00AA5E45">
      <w:bookmarkStart w:id="25" w:name="sub_63"/>
      <w:bookmarkEnd w:id="24"/>
      <w:r>
        <w:t xml:space="preserve">в) хозяйствующих субъектов, осуществляющих на территории Удмуртской Республики деятельность легкового такси и арендованных легковых автомобилей с водителем (код </w:t>
      </w:r>
      <w:hyperlink r:id="rId28" w:history="1">
        <w:r>
          <w:rPr>
            <w:rStyle w:val="a4"/>
          </w:rPr>
          <w:t>49.32</w:t>
        </w:r>
      </w:hyperlink>
      <w:r>
        <w:t>).</w:t>
      </w:r>
    </w:p>
    <w:p w:rsidR="00CC213A" w:rsidRDefault="00AA5E45">
      <w:bookmarkStart w:id="26" w:name="sub_7"/>
      <w:bookmarkEnd w:id="25"/>
      <w:r>
        <w:t xml:space="preserve">7. Установить, что </w:t>
      </w:r>
      <w:hyperlink w:anchor="sub_114" w:history="1">
        <w:r>
          <w:rPr>
            <w:rStyle w:val="a4"/>
          </w:rPr>
          <w:t>подпункт "н" пункта 1</w:t>
        </w:r>
      </w:hyperlink>
      <w:r>
        <w:t xml:space="preserve"> настоящего постановления распространяется на хозяйствующие субъекты, осуществляющие деятельность на территории Российской Федерации, за исключением территорий Краснодарского края и Магаданской области.</w:t>
      </w:r>
    </w:p>
    <w:p w:rsidR="00CC213A" w:rsidRDefault="00AA5E45">
      <w:bookmarkStart w:id="27" w:name="sub_8"/>
      <w:bookmarkEnd w:id="26"/>
      <w:r>
        <w:t>8. Установить на 2024 год допустимую долю иностранных работников, используемых хозяйствующими субъектами, осуществляющими на территории Республики Дагестан деятельность в сфере строительства (</w:t>
      </w:r>
      <w:hyperlink r:id="rId29" w:history="1">
        <w:r>
          <w:rPr>
            <w:rStyle w:val="a4"/>
          </w:rPr>
          <w:t>раздел F</w:t>
        </w:r>
      </w:hyperlink>
      <w:r>
        <w:t>), в размере 50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28" w:name="sub_9"/>
      <w:bookmarkEnd w:id="27"/>
      <w:r>
        <w:t xml:space="preserve">9. Установить на 2024 год допустимую долю иностранных работников, используемых хозяйствующими субъектами, осуществляющими на территории Хабаровского края деятельность в сфере обработки древесины и производства изделий из дерева и пробки, кроме мебели, производства изделий из соломки и материалов для плетения (код </w:t>
      </w:r>
      <w:hyperlink r:id="rId30" w:history="1">
        <w:r>
          <w:rPr>
            <w:rStyle w:val="a4"/>
          </w:rPr>
          <w:t>16</w:t>
        </w:r>
      </w:hyperlink>
      <w:r>
        <w:t>), в размере 80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29" w:name="sub_10"/>
      <w:bookmarkEnd w:id="28"/>
      <w:r>
        <w:t>10. Установить на 2024 год допустимую долю иностранных работников, используемых хозяйствующими субъектами, осуществляющими на территории Амурской области следующие виды деятельности:</w:t>
      </w:r>
    </w:p>
    <w:p w:rsidR="00CC213A" w:rsidRDefault="00AA5E45">
      <w:bookmarkStart w:id="30" w:name="sub_1001"/>
      <w:bookmarkEnd w:id="29"/>
      <w:r>
        <w:t xml:space="preserve">а) растениеводство и животноводство, охота и предоставление соответствующих услуг в этих областях (код </w:t>
      </w:r>
      <w:hyperlink r:id="rId31" w:history="1">
        <w:r>
          <w:rPr>
            <w:rStyle w:val="a4"/>
          </w:rPr>
          <w:t>01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31" w:name="sub_1002"/>
      <w:bookmarkEnd w:id="30"/>
      <w:r>
        <w:t xml:space="preserve">б) добыча руд и песков драгоценных металлов (золота, серебра и металлов платиновой группы) (код </w:t>
      </w:r>
      <w:hyperlink r:id="rId32" w:history="1">
        <w:r>
          <w:rPr>
            <w:rStyle w:val="a4"/>
          </w:rPr>
          <w:t>07.29.41</w:t>
        </w:r>
      </w:hyperlink>
      <w:r>
        <w:t>) - в размере 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32" w:name="sub_11"/>
      <w:bookmarkEnd w:id="31"/>
      <w:r>
        <w:t>11. Установить на 2024 год допустимую долю иностранных работников, используемых хозяйствующими субъектами, осуществляющими на территории Удмуртской Республики следующие виды деятельности:</w:t>
      </w:r>
    </w:p>
    <w:p w:rsidR="00CC213A" w:rsidRDefault="00AA5E45">
      <w:bookmarkStart w:id="33" w:name="sub_1101"/>
      <w:bookmarkEnd w:id="32"/>
      <w:r>
        <w:t xml:space="preserve">а) выращивание овощей (код </w:t>
      </w:r>
      <w:hyperlink r:id="rId33" w:history="1">
        <w:r>
          <w:rPr>
            <w:rStyle w:val="a4"/>
          </w:rPr>
          <w:t>01.13.1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34" w:name="sub_1102"/>
      <w:bookmarkEnd w:id="33"/>
      <w:r>
        <w:t xml:space="preserve">б) деятельность сухопутного пассажирского транспорта: перевозки пассажиров в городском и пригородном сообщении (код </w:t>
      </w:r>
      <w:hyperlink r:id="rId34" w:history="1">
        <w:r>
          <w:rPr>
            <w:rStyle w:val="a4"/>
          </w:rPr>
          <w:t>49.31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35" w:name="sub_1103"/>
      <w:bookmarkEnd w:id="34"/>
      <w:r>
        <w:t xml:space="preserve">в) деятельность легкового такси и арендованных легковых автомобилей с водителем (код </w:t>
      </w:r>
      <w:hyperlink r:id="rId35" w:history="1">
        <w:r>
          <w:rPr>
            <w:rStyle w:val="a4"/>
          </w:rPr>
          <w:t>49.32</w:t>
        </w:r>
      </w:hyperlink>
      <w:r>
        <w:t>) - в размере 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36" w:name="sub_12"/>
      <w:bookmarkEnd w:id="35"/>
      <w:r>
        <w:t>12. Установить на 2024 год допустимую долю иностранных работников, используемых хозяйствующими субъектами, осуществляющими на территории Краснодарского края следующие виды деятельности:</w:t>
      </w:r>
    </w:p>
    <w:p w:rsidR="00CC213A" w:rsidRDefault="00AA5E45">
      <w:bookmarkStart w:id="37" w:name="sub_121"/>
      <w:bookmarkEnd w:id="36"/>
      <w:r>
        <w:t>а) строительство (</w:t>
      </w:r>
      <w:hyperlink r:id="rId36" w:history="1">
        <w:r>
          <w:rPr>
            <w:rStyle w:val="a4"/>
          </w:rPr>
          <w:t>раздел F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38" w:name="sub_122"/>
      <w:bookmarkEnd w:id="37"/>
      <w:r>
        <w:t xml:space="preserve">б) деятельность прочего сухопутного пассажирского транспорта (код </w:t>
      </w:r>
      <w:hyperlink r:id="rId37" w:history="1">
        <w:r>
          <w:rPr>
            <w:rStyle w:val="a4"/>
          </w:rPr>
          <w:t>49.3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39" w:name="sub_123"/>
      <w:bookmarkEnd w:id="38"/>
      <w:r>
        <w:t xml:space="preserve">в) деятельность автомобильного грузового транспорта (код </w:t>
      </w:r>
      <w:hyperlink r:id="rId38" w:history="1">
        <w:r>
          <w:rPr>
            <w:rStyle w:val="a4"/>
          </w:rPr>
          <w:t>49.41</w:t>
        </w:r>
      </w:hyperlink>
      <w:r>
        <w:t>) - в размере 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40" w:name="sub_13"/>
      <w:bookmarkEnd w:id="39"/>
      <w:r>
        <w:t>13. Установить на 2024 год допустимую долю иностранных работников, используемых хозяйствующими субъектами, осуществляющими на территории Калужской области следующие виды деятельности:</w:t>
      </w:r>
    </w:p>
    <w:p w:rsidR="00CC213A" w:rsidRDefault="00AA5E45">
      <w:bookmarkStart w:id="41" w:name="sub_131"/>
      <w:bookmarkEnd w:id="40"/>
      <w:r>
        <w:lastRenderedPageBreak/>
        <w:t xml:space="preserve">а) сбор, обработка и утилизация отходов; обработка вторичного сырья (код </w:t>
      </w:r>
      <w:hyperlink r:id="rId39" w:history="1">
        <w:r>
          <w:rPr>
            <w:rStyle w:val="a4"/>
          </w:rPr>
          <w:t>38</w:t>
        </w:r>
      </w:hyperlink>
      <w:r>
        <w:t>) - в размере 60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42" w:name="sub_132"/>
      <w:bookmarkEnd w:id="41"/>
      <w:r>
        <w:t xml:space="preserve">б) торговля розничная, кроме торговли автотранспортными средствами и мотоциклами (код </w:t>
      </w:r>
      <w:hyperlink r:id="rId40" w:history="1">
        <w:r>
          <w:rPr>
            <w:rStyle w:val="a4"/>
          </w:rPr>
          <w:t>47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43" w:name="sub_133"/>
      <w:bookmarkEnd w:id="42"/>
      <w:r>
        <w:t xml:space="preserve">в) деятельность прочего сухопутного пассажирского транспорта (код </w:t>
      </w:r>
      <w:hyperlink r:id="rId41" w:history="1">
        <w:r>
          <w:rPr>
            <w:rStyle w:val="a4"/>
          </w:rPr>
          <w:t>49.3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44" w:name="sub_134"/>
      <w:bookmarkEnd w:id="43"/>
      <w:r>
        <w:t xml:space="preserve">г) складское хозяйство и вспомогательная транспортная деятельность (код </w:t>
      </w:r>
      <w:hyperlink r:id="rId42" w:history="1">
        <w:r>
          <w:rPr>
            <w:rStyle w:val="a4"/>
          </w:rPr>
          <w:t>52</w:t>
        </w:r>
      </w:hyperlink>
      <w:r>
        <w:t>) - в размере 70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45" w:name="sub_135"/>
      <w:bookmarkEnd w:id="44"/>
      <w:r>
        <w:t xml:space="preserve">д) деятельность по предоставлению продуктов питания и напитков (код </w:t>
      </w:r>
      <w:hyperlink r:id="rId43" w:history="1">
        <w:r>
          <w:rPr>
            <w:rStyle w:val="a4"/>
          </w:rPr>
          <w:t>56</w:t>
        </w:r>
      </w:hyperlink>
      <w:r>
        <w:t>) - в размере 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46" w:name="sub_136"/>
      <w:bookmarkEnd w:id="45"/>
      <w:r>
        <w:t xml:space="preserve">е) деятельность по трудоустройству и подбору персонала (код </w:t>
      </w:r>
      <w:hyperlink r:id="rId44" w:history="1">
        <w:r>
          <w:rPr>
            <w:rStyle w:val="a4"/>
          </w:rPr>
          <w:t>78</w:t>
        </w:r>
      </w:hyperlink>
      <w:r>
        <w:t>) - в размере 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47" w:name="sub_14"/>
      <w:bookmarkEnd w:id="46"/>
      <w:r>
        <w:t>14. Установить на 2024 год допустимую долю иностранных работников, используемых хозяйствующими субъектами, осуществляющими на территории Магаданской области следующие виды деятельности:</w:t>
      </w:r>
    </w:p>
    <w:p w:rsidR="00CC213A" w:rsidRDefault="00AA5E45">
      <w:bookmarkStart w:id="48" w:name="sub_141"/>
      <w:bookmarkEnd w:id="47"/>
      <w:r>
        <w:t>а) сельское, лесное хозяйство, охота, рыболовство и рыбоводство (</w:t>
      </w:r>
      <w:hyperlink r:id="rId45" w:history="1">
        <w:r>
          <w:rPr>
            <w:rStyle w:val="a4"/>
          </w:rPr>
          <w:t>раздел А</w:t>
        </w:r>
      </w:hyperlink>
      <w:r>
        <w:t>) - в размере 50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49" w:name="sub_142"/>
      <w:bookmarkEnd w:id="48"/>
      <w:r>
        <w:t>б) добыча полезных ископаемых (</w:t>
      </w:r>
      <w:hyperlink r:id="rId46" w:history="1">
        <w:r>
          <w:rPr>
            <w:rStyle w:val="a4"/>
          </w:rPr>
          <w:t>раздел В</w:t>
        </w:r>
      </w:hyperlink>
      <w:r>
        <w:t>) - в размере 80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50" w:name="sub_143"/>
      <w:bookmarkEnd w:id="49"/>
      <w:r>
        <w:t>в) транспортировка и хранение (</w:t>
      </w:r>
      <w:hyperlink r:id="rId47" w:history="1">
        <w:r>
          <w:rPr>
            <w:rStyle w:val="a4"/>
          </w:rPr>
          <w:t>раздел H</w:t>
        </w:r>
      </w:hyperlink>
      <w:r>
        <w:t>) - в размере 50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51" w:name="sub_15"/>
      <w:bookmarkEnd w:id="50"/>
      <w:r>
        <w:t>15. Установить на 2024 год допустимую долю иностранных работников, используемых хозяйствующими субъектами, осуществляющими на территории Рязанской области следующие виды деятельности:</w:t>
      </w:r>
    </w:p>
    <w:p w:rsidR="00CC213A" w:rsidRDefault="00AA5E45">
      <w:bookmarkStart w:id="52" w:name="sub_151"/>
      <w:bookmarkEnd w:id="51"/>
      <w:r>
        <w:t xml:space="preserve">а) производство текстильных изделий (код </w:t>
      </w:r>
      <w:hyperlink r:id="rId48" w:history="1">
        <w:r>
          <w:rPr>
            <w:rStyle w:val="a4"/>
          </w:rPr>
          <w:t>13</w:t>
        </w:r>
      </w:hyperlink>
      <w:r>
        <w:t>) - в размере 90 процентов общей численности работников, используемых указанными хозяйствующими субъектами;</w:t>
      </w:r>
    </w:p>
    <w:p w:rsidR="00CC213A" w:rsidRDefault="00AA5E45">
      <w:bookmarkStart w:id="53" w:name="sub_152"/>
      <w:bookmarkEnd w:id="52"/>
      <w:r>
        <w:t xml:space="preserve">б) производство одежды (код </w:t>
      </w:r>
      <w:hyperlink r:id="rId49" w:history="1">
        <w:r>
          <w:rPr>
            <w:rStyle w:val="a4"/>
          </w:rPr>
          <w:t>14</w:t>
        </w:r>
      </w:hyperlink>
      <w:r>
        <w:t>) - в размере 90 процентов общей численности работников, используемых указанными хозяйствующими субъектами.</w:t>
      </w:r>
    </w:p>
    <w:p w:rsidR="00CC213A" w:rsidRDefault="00AA5E45">
      <w:bookmarkStart w:id="54" w:name="sub_16"/>
      <w:bookmarkEnd w:id="53"/>
      <w:r>
        <w:t>16. Хозяйствующим субъектам до 1 января 2024 г. привести численность используемых иностранных работников в соответствие с настоящим постановлением, руководствуясь требованиями трудового законодательства Российской Федерации.</w:t>
      </w:r>
    </w:p>
    <w:p w:rsidR="00CC213A" w:rsidRDefault="00AA5E45">
      <w:bookmarkStart w:id="55" w:name="sub_17"/>
      <w:bookmarkEnd w:id="54"/>
      <w:r>
        <w:t>17. Министерству труда и социальной защиты Российской Федерации давать разъяснения по применению настоящего постановления.</w:t>
      </w:r>
    </w:p>
    <w:bookmarkEnd w:id="55"/>
    <w:p w:rsidR="00CC213A" w:rsidRDefault="00CC213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CC213A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C213A" w:rsidRDefault="00AA5E45">
            <w:pPr>
              <w:pStyle w:val="a8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C213A" w:rsidRDefault="00AA5E45">
            <w:pPr>
              <w:pStyle w:val="a7"/>
              <w:jc w:val="right"/>
            </w:pPr>
            <w:r>
              <w:t>М. Мишустин</w:t>
            </w:r>
          </w:p>
        </w:tc>
      </w:tr>
    </w:tbl>
    <w:p w:rsidR="00CC213A" w:rsidRDefault="00CC213A"/>
    <w:sectPr w:rsidR="00CC213A">
      <w:headerReference w:type="default" r:id="rId50"/>
      <w:footerReference w:type="default" r:id="rId5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13A" w:rsidRDefault="00AA5E45">
      <w:r>
        <w:separator/>
      </w:r>
    </w:p>
  </w:endnote>
  <w:endnote w:type="continuationSeparator" w:id="0">
    <w:p w:rsidR="00CC213A" w:rsidRDefault="00A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C213A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CC213A" w:rsidRDefault="00AA5E4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05.12.202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3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213A" w:rsidRDefault="00AA5E4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CC213A" w:rsidRDefault="00AA5E4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A0E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A0E4E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A0E4E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A0E4E">
            <w:rPr>
              <w:rFonts w:ascii="Times New Roman" w:hAnsi="Times New Roman" w:cs="Times New Roman"/>
              <w:noProof/>
              <w:sz w:val="20"/>
              <w:szCs w:val="20"/>
            </w:rPr>
            <w:t>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13A" w:rsidRDefault="00AA5E45">
      <w:r>
        <w:separator/>
      </w:r>
    </w:p>
  </w:footnote>
  <w:footnote w:type="continuationSeparator" w:id="0">
    <w:p w:rsidR="00CC213A" w:rsidRDefault="00AA5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13A" w:rsidRDefault="00AA5E4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РФ от 16 сентября 2023 г. N 1511 "Об установлении на 2024 год допустимой доли…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3A"/>
    <w:rsid w:val="006A0E4E"/>
    <w:rsid w:val="00AA5E45"/>
    <w:rsid w:val="00CC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B910E1-5568-4862-BC95-0761F8F2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kern w:val="0"/>
      <w:sz w:val="24"/>
      <w:szCs w:val="24"/>
      <w:lang w:val="ru-RU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kern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document/redirect/70650726/46731" TargetMode="External"/><Relationship Id="rId18" Type="http://schemas.openxmlformats.org/officeDocument/2006/relationships/hyperlink" Target="http://ivo.garant.ru/document/redirect/70650726/478" TargetMode="External"/><Relationship Id="rId26" Type="http://schemas.openxmlformats.org/officeDocument/2006/relationships/hyperlink" Target="http://ivo.garant.ru/document/redirect/70650726/9319" TargetMode="External"/><Relationship Id="rId39" Type="http://schemas.openxmlformats.org/officeDocument/2006/relationships/hyperlink" Target="http://ivo.garant.ru/document/redirect/70650726/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vo.garant.ru/document/redirect/70650726/4932" TargetMode="External"/><Relationship Id="rId34" Type="http://schemas.openxmlformats.org/officeDocument/2006/relationships/hyperlink" Target="http://ivo.garant.ru/document/redirect/70650726/4931" TargetMode="External"/><Relationship Id="rId42" Type="http://schemas.openxmlformats.org/officeDocument/2006/relationships/hyperlink" Target="http://ivo.garant.ru/document/redirect/70650726/10052" TargetMode="External"/><Relationship Id="rId47" Type="http://schemas.openxmlformats.org/officeDocument/2006/relationships/hyperlink" Target="http://ivo.garant.ru/document/redirect/70650726/800" TargetMode="External"/><Relationship Id="rId50" Type="http://schemas.openxmlformats.org/officeDocument/2006/relationships/header" Target="header1.xml"/><Relationship Id="rId7" Type="http://schemas.openxmlformats.org/officeDocument/2006/relationships/hyperlink" Target="http://ivo.garant.ru/document/redirect/184755/18015" TargetMode="External"/><Relationship Id="rId12" Type="http://schemas.openxmlformats.org/officeDocument/2006/relationships/hyperlink" Target="http://ivo.garant.ru/document/redirect/70650726/600" TargetMode="External"/><Relationship Id="rId17" Type="http://schemas.openxmlformats.org/officeDocument/2006/relationships/hyperlink" Target="http://ivo.garant.ru/document/redirect/70650726/4773" TargetMode="External"/><Relationship Id="rId25" Type="http://schemas.openxmlformats.org/officeDocument/2006/relationships/hyperlink" Target="http://ivo.garant.ru/document/redirect/70650726/80010" TargetMode="External"/><Relationship Id="rId33" Type="http://schemas.openxmlformats.org/officeDocument/2006/relationships/hyperlink" Target="http://ivo.garant.ru/document/redirect/70650726/1131" TargetMode="External"/><Relationship Id="rId38" Type="http://schemas.openxmlformats.org/officeDocument/2006/relationships/hyperlink" Target="http://ivo.garant.ru/document/redirect/70650726/4941" TargetMode="External"/><Relationship Id="rId46" Type="http://schemas.openxmlformats.org/officeDocument/2006/relationships/hyperlink" Target="http://ivo.garant.ru/document/redirect/70650726/200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650726/4726" TargetMode="External"/><Relationship Id="rId20" Type="http://schemas.openxmlformats.org/officeDocument/2006/relationships/hyperlink" Target="http://ivo.garant.ru/document/redirect/70650726/4931" TargetMode="External"/><Relationship Id="rId29" Type="http://schemas.openxmlformats.org/officeDocument/2006/relationships/hyperlink" Target="http://ivo.garant.ru/document/redirect/70650726/600" TargetMode="External"/><Relationship Id="rId41" Type="http://schemas.openxmlformats.org/officeDocument/2006/relationships/hyperlink" Target="http://ivo.garant.ru/document/redirect/70650726/49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650726/10016" TargetMode="External"/><Relationship Id="rId24" Type="http://schemas.openxmlformats.org/officeDocument/2006/relationships/hyperlink" Target="http://ivo.garant.ru/document/redirect/70650726/6832" TargetMode="External"/><Relationship Id="rId32" Type="http://schemas.openxmlformats.org/officeDocument/2006/relationships/hyperlink" Target="http://ivo.garant.ru/document/redirect/70650726/72941" TargetMode="External"/><Relationship Id="rId37" Type="http://schemas.openxmlformats.org/officeDocument/2006/relationships/hyperlink" Target="http://ivo.garant.ru/document/redirect/70650726/493" TargetMode="External"/><Relationship Id="rId40" Type="http://schemas.openxmlformats.org/officeDocument/2006/relationships/hyperlink" Target="http://ivo.garant.ru/document/redirect/70650726/47" TargetMode="External"/><Relationship Id="rId45" Type="http://schemas.openxmlformats.org/officeDocument/2006/relationships/hyperlink" Target="http://ivo.garant.ru/document/redirect/70650726/100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650726/47251" TargetMode="External"/><Relationship Id="rId23" Type="http://schemas.openxmlformats.org/officeDocument/2006/relationships/hyperlink" Target="http://ivo.garant.ru/document/redirect/70650726/4941" TargetMode="External"/><Relationship Id="rId28" Type="http://schemas.openxmlformats.org/officeDocument/2006/relationships/hyperlink" Target="http://ivo.garant.ru/document/redirect/70650726/4932" TargetMode="External"/><Relationship Id="rId36" Type="http://schemas.openxmlformats.org/officeDocument/2006/relationships/hyperlink" Target="http://ivo.garant.ru/document/redirect/70650726/600" TargetMode="External"/><Relationship Id="rId49" Type="http://schemas.openxmlformats.org/officeDocument/2006/relationships/hyperlink" Target="http://ivo.garant.ru/document/redirect/70650726/10014" TargetMode="External"/><Relationship Id="rId10" Type="http://schemas.openxmlformats.org/officeDocument/2006/relationships/hyperlink" Target="http://ivo.garant.ru/document/redirect/70650726/2" TargetMode="External"/><Relationship Id="rId19" Type="http://schemas.openxmlformats.org/officeDocument/2006/relationships/hyperlink" Target="http://ivo.garant.ru/document/redirect/70650726/4799" TargetMode="External"/><Relationship Id="rId31" Type="http://schemas.openxmlformats.org/officeDocument/2006/relationships/hyperlink" Target="http://ivo.garant.ru/document/redirect/70650726/1" TargetMode="External"/><Relationship Id="rId44" Type="http://schemas.openxmlformats.org/officeDocument/2006/relationships/hyperlink" Target="http://ivo.garant.ru/document/redirect/70650726/78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650726/1131" TargetMode="External"/><Relationship Id="rId14" Type="http://schemas.openxmlformats.org/officeDocument/2006/relationships/hyperlink" Target="http://ivo.garant.ru/document/redirect/70650726/46732" TargetMode="External"/><Relationship Id="rId22" Type="http://schemas.openxmlformats.org/officeDocument/2006/relationships/hyperlink" Target="http://ivo.garant.ru/document/redirect/70650726/493" TargetMode="External"/><Relationship Id="rId27" Type="http://schemas.openxmlformats.org/officeDocument/2006/relationships/hyperlink" Target="http://ivo.garant.ru/document/redirect/70650726/4931" TargetMode="External"/><Relationship Id="rId30" Type="http://schemas.openxmlformats.org/officeDocument/2006/relationships/hyperlink" Target="http://ivo.garant.ru/document/redirect/70650726/10016" TargetMode="External"/><Relationship Id="rId35" Type="http://schemas.openxmlformats.org/officeDocument/2006/relationships/hyperlink" Target="http://ivo.garant.ru/document/redirect/70650726/4932" TargetMode="External"/><Relationship Id="rId43" Type="http://schemas.openxmlformats.org/officeDocument/2006/relationships/hyperlink" Target="http://ivo.garant.ru/document/redirect/70650726/56" TargetMode="External"/><Relationship Id="rId48" Type="http://schemas.openxmlformats.org/officeDocument/2006/relationships/hyperlink" Target="http://ivo.garant.ru/document/redirect/70650726/10013" TargetMode="External"/><Relationship Id="rId8" Type="http://schemas.openxmlformats.org/officeDocument/2006/relationships/hyperlink" Target="http://ivo.garant.ru/document/redirect/70650726/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1461</Words>
  <Characters>14574</Characters>
  <Application>Microsoft Office Word</Application>
  <DocSecurity>4</DocSecurity>
  <Lines>121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gsolomina3</cp:lastModifiedBy>
  <cp:revision>2</cp:revision>
  <dcterms:created xsi:type="dcterms:W3CDTF">2023-12-05T12:51:00Z</dcterms:created>
  <dcterms:modified xsi:type="dcterms:W3CDTF">2023-12-05T12:51:00Z</dcterms:modified>
</cp:coreProperties>
</file>